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15" w:rsidRPr="00BC46AB" w:rsidRDefault="00CD5015" w:rsidP="00CD5015">
      <w:pPr>
        <w:spacing w:after="0"/>
        <w:rPr>
          <w:sz w:val="16"/>
          <w:szCs w:val="16"/>
        </w:rPr>
      </w:pPr>
    </w:p>
    <w:p w:rsidR="005E2275" w:rsidRDefault="00685824" w:rsidP="00685824">
      <w:pPr>
        <w:spacing w:after="0" w:line="252" w:lineRule="auto"/>
        <w:ind w:right="-162"/>
      </w:pPr>
      <w:r>
        <w:t>Answer the following q</w:t>
      </w:r>
      <w:r w:rsidR="00CB473A">
        <w:t xml:space="preserve">uestions </w:t>
      </w:r>
      <w:r w:rsidR="00726C40">
        <w:t>about</w:t>
      </w:r>
      <w:bookmarkStart w:id="0" w:name="_GoBack"/>
      <w:bookmarkEnd w:id="0"/>
      <w:r>
        <w:t xml:space="preserve"> Missouri’s Foundational Public Health Services model </w:t>
      </w:r>
      <w:r w:rsidR="00CB473A">
        <w:t>based on the overview video at:</w:t>
      </w:r>
      <w:r>
        <w:t xml:space="preserve"> </w:t>
      </w:r>
      <w:hyperlink r:id="rId8" w:history="1">
        <w:r w:rsidRPr="00A221B3">
          <w:rPr>
            <w:rStyle w:val="Hyperlink"/>
          </w:rPr>
          <w:t>https://www.youtube.com/watch?v=rxKjI9gHdMQ&amp;t=49s</w:t>
        </w:r>
      </w:hyperlink>
      <w:r w:rsidR="00A205BA">
        <w:t xml:space="preserve">. </w:t>
      </w:r>
    </w:p>
    <w:p w:rsidR="00A205BA" w:rsidRDefault="00A205BA" w:rsidP="00BC46AB">
      <w:pPr>
        <w:spacing w:after="0" w:line="252" w:lineRule="auto"/>
        <w:rPr>
          <w:sz w:val="16"/>
          <w:szCs w:val="16"/>
        </w:rPr>
      </w:pPr>
    </w:p>
    <w:p w:rsidR="001F45C7" w:rsidRPr="00BC46AB" w:rsidRDefault="001F45C7" w:rsidP="00BC46AB">
      <w:pPr>
        <w:spacing w:after="0" w:line="252" w:lineRule="auto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3240"/>
        <w:gridCol w:w="936"/>
      </w:tblGrid>
      <w:tr w:rsidR="006F635E" w:rsidTr="00DB3C77">
        <w:trPr>
          <w:cantSplit/>
          <w:tblHeader/>
        </w:trPr>
        <w:tc>
          <w:tcPr>
            <w:tcW w:w="6048" w:type="dxa"/>
            <w:shd w:val="clear" w:color="auto" w:fill="DAEEF3" w:themeFill="accent5" w:themeFillTint="33"/>
          </w:tcPr>
          <w:p w:rsidR="006F635E" w:rsidRPr="009C515F" w:rsidRDefault="006F635E" w:rsidP="00685824">
            <w:pPr>
              <w:jc w:val="center"/>
              <w:rPr>
                <w:b/>
              </w:rPr>
            </w:pPr>
            <w:r w:rsidRPr="009C515F">
              <w:rPr>
                <w:b/>
              </w:rPr>
              <w:t>Question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685824" w:rsidRDefault="00685824" w:rsidP="00685824">
            <w:pPr>
              <w:jc w:val="center"/>
              <w:rPr>
                <w:b/>
              </w:rPr>
            </w:pPr>
            <w:r>
              <w:rPr>
                <w:b/>
              </w:rPr>
              <w:t>Points Deduction</w:t>
            </w:r>
          </w:p>
          <w:p w:rsidR="006F635E" w:rsidRPr="009C515F" w:rsidRDefault="00685824" w:rsidP="00685824">
            <w:pPr>
              <w:jc w:val="center"/>
              <w:rPr>
                <w:b/>
              </w:rPr>
            </w:pPr>
            <w:r>
              <w:rPr>
                <w:b/>
              </w:rPr>
              <w:t>Clarification Comments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:rsidR="006F635E" w:rsidRPr="009C515F" w:rsidRDefault="00685824" w:rsidP="00685824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CB473A" w:rsidRPr="00A8616F" w:rsidTr="00DB3C77">
        <w:trPr>
          <w:cantSplit/>
        </w:trPr>
        <w:tc>
          <w:tcPr>
            <w:tcW w:w="6048" w:type="dxa"/>
          </w:tcPr>
          <w:p w:rsidR="00CB473A" w:rsidRDefault="00CB473A" w:rsidP="00685824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From the FPHS video, prove or disprove that public health system transformation is unique to Missouri.</w:t>
            </w:r>
            <w:r w:rsidR="00726C40">
              <w:rPr>
                <w:rFonts w:cstheme="minorHAnsi"/>
              </w:rPr>
              <w:t xml:space="preserve"> </w:t>
            </w:r>
            <w:r w:rsidR="00726C40">
              <w:rPr>
                <w:rFonts w:cstheme="minorHAnsi"/>
              </w:rPr>
              <w:t>(</w:t>
            </w:r>
            <w:r w:rsidR="00726C40">
              <w:rPr>
                <w:rFonts w:cstheme="minorHAnsi"/>
              </w:rPr>
              <w:t>video</w:t>
            </w:r>
            <w:r w:rsidR="00726C40">
              <w:rPr>
                <w:rFonts w:cstheme="minorHAnsi"/>
              </w:rPr>
              <w:t xml:space="preserve"> 1:14)</w:t>
            </w:r>
          </w:p>
          <w:p w:rsidR="00CB473A" w:rsidRPr="00CB473A" w:rsidRDefault="00CB473A" w:rsidP="00726C40">
            <w:pPr>
              <w:pStyle w:val="ListParagraph"/>
              <w:numPr>
                <w:ilvl w:val="0"/>
                <w:numId w:val="10"/>
              </w:numPr>
              <w:spacing w:before="40" w:after="40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It is not unique to Missouri. There are eight other states currently involved in their own public health system transformation work. </w:t>
            </w:r>
          </w:p>
        </w:tc>
        <w:tc>
          <w:tcPr>
            <w:tcW w:w="3240" w:type="dxa"/>
          </w:tcPr>
          <w:p w:rsidR="00CB473A" w:rsidRPr="00A8616F" w:rsidRDefault="00CB473A" w:rsidP="00BC46AB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36" w:type="dxa"/>
          </w:tcPr>
          <w:p w:rsidR="00CB473A" w:rsidRDefault="00CB473A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CB473A" w:rsidRPr="00A8616F" w:rsidTr="00DB3C77">
        <w:trPr>
          <w:cantSplit/>
        </w:trPr>
        <w:tc>
          <w:tcPr>
            <w:tcW w:w="6048" w:type="dxa"/>
          </w:tcPr>
          <w:p w:rsidR="00CB473A" w:rsidRDefault="00685824" w:rsidP="00685824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Missouri’s FPHS model defines a minimum set of fundamental capabilities and services that must be available in every urban or metropolitan community in order to have a functional statewide public health system. Is this statement true or false? If false, what is incorrect?</w:t>
            </w:r>
            <w:r w:rsidR="00726C40">
              <w:rPr>
                <w:rFonts w:cstheme="minorHAnsi"/>
              </w:rPr>
              <w:t xml:space="preserve"> </w:t>
            </w:r>
            <w:r w:rsidR="00726C40">
              <w:rPr>
                <w:rFonts w:cstheme="minorHAnsi"/>
              </w:rPr>
              <w:t>(video 1:16)</w:t>
            </w:r>
          </w:p>
          <w:p w:rsidR="00685824" w:rsidRPr="00685824" w:rsidRDefault="00685824" w:rsidP="00726C40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False. Foundational capabilities and services must be available in every Missouri community.</w:t>
            </w:r>
            <w:r w:rsidR="00C1261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</w:tcPr>
          <w:p w:rsidR="00CB473A" w:rsidRPr="00A8616F" w:rsidRDefault="00CB473A" w:rsidP="00BC46AB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36" w:type="dxa"/>
          </w:tcPr>
          <w:p w:rsidR="00CB473A" w:rsidRDefault="00CB473A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685824" w:rsidRPr="00A8616F" w:rsidTr="00DB3C77">
        <w:trPr>
          <w:cantSplit/>
        </w:trPr>
        <w:tc>
          <w:tcPr>
            <w:tcW w:w="6048" w:type="dxa"/>
          </w:tcPr>
          <w:p w:rsidR="00685824" w:rsidRDefault="00685824" w:rsidP="00685824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On which public health framework (or related frameworks) was the first FPHS model based?</w:t>
            </w:r>
            <w:r w:rsidR="00726C40">
              <w:rPr>
                <w:rFonts w:cstheme="minorHAnsi"/>
              </w:rPr>
              <w:t xml:space="preserve"> </w:t>
            </w:r>
            <w:r w:rsidR="00726C40">
              <w:rPr>
                <w:rFonts w:cstheme="minorHAnsi"/>
              </w:rPr>
              <w:t>(video 2:12)</w:t>
            </w:r>
          </w:p>
          <w:p w:rsidR="00685824" w:rsidRDefault="00685824" w:rsidP="00726C40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10 Essential Services and Core Public Health Functions</w:t>
            </w:r>
            <w:r w:rsidR="00C1261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</w:tcPr>
          <w:p w:rsidR="00685824" w:rsidRPr="00A8616F" w:rsidRDefault="00685824" w:rsidP="00BC46AB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36" w:type="dxa"/>
          </w:tcPr>
          <w:p w:rsidR="00685824" w:rsidRDefault="00685824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C42EEA" w:rsidRPr="00A8616F" w:rsidTr="00DB3C77">
        <w:trPr>
          <w:cantSplit/>
        </w:trPr>
        <w:tc>
          <w:tcPr>
            <w:tcW w:w="6048" w:type="dxa"/>
          </w:tcPr>
          <w:p w:rsidR="00C42EEA" w:rsidRDefault="00685824" w:rsidP="00685824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Name at least three groups or committees who were instrumental in the development and design of Missouri’s FPHS model?</w:t>
            </w:r>
            <w:r w:rsidR="00726C40">
              <w:rPr>
                <w:rFonts w:cstheme="minorHAnsi"/>
              </w:rPr>
              <w:t xml:space="preserve"> </w:t>
            </w:r>
            <w:r w:rsidR="00726C40" w:rsidRPr="00C12617">
              <w:rPr>
                <w:rFonts w:cstheme="minorHAnsi"/>
              </w:rPr>
              <w:t>(video 3:07 – 3:36)</w:t>
            </w:r>
          </w:p>
          <w:p w:rsidR="00685824" w:rsidRDefault="00685824" w:rsidP="00685824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FPHS Workgroup</w:t>
            </w:r>
          </w:p>
          <w:p w:rsidR="00685824" w:rsidRDefault="00685824" w:rsidP="00685824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State and local public health agency representatives</w:t>
            </w:r>
          </w:p>
          <w:p w:rsidR="00685824" w:rsidRDefault="00685824" w:rsidP="00685824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Academia</w:t>
            </w:r>
          </w:p>
          <w:p w:rsidR="00685824" w:rsidRDefault="00685824" w:rsidP="00685824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Local public health administrators</w:t>
            </w:r>
          </w:p>
          <w:p w:rsidR="00C12617" w:rsidRPr="00726C40" w:rsidRDefault="00685824" w:rsidP="00726C40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  <w:proofErr w:type="spellStart"/>
            <w:r>
              <w:rPr>
                <w:rFonts w:cstheme="minorHAnsi"/>
              </w:rPr>
              <w:t>HealthierMO</w:t>
            </w:r>
            <w:proofErr w:type="spellEnd"/>
            <w:r>
              <w:rPr>
                <w:rFonts w:cstheme="minorHAnsi"/>
              </w:rPr>
              <w:t xml:space="preserve"> Executive Committee</w:t>
            </w:r>
          </w:p>
        </w:tc>
        <w:tc>
          <w:tcPr>
            <w:tcW w:w="3240" w:type="dxa"/>
          </w:tcPr>
          <w:p w:rsidR="00C42EEA" w:rsidRPr="00685824" w:rsidRDefault="00C42EEA" w:rsidP="00685824">
            <w:pPr>
              <w:spacing w:before="40" w:after="40"/>
              <w:ind w:left="162"/>
              <w:rPr>
                <w:rFonts w:cstheme="minorHAnsi"/>
              </w:rPr>
            </w:pPr>
          </w:p>
        </w:tc>
        <w:tc>
          <w:tcPr>
            <w:tcW w:w="936" w:type="dxa"/>
          </w:tcPr>
          <w:p w:rsidR="00C42EEA" w:rsidRPr="00A8616F" w:rsidRDefault="00C42EEA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C42EEA" w:rsidRPr="00A8616F" w:rsidTr="00DB3C77">
        <w:trPr>
          <w:cantSplit/>
        </w:trPr>
        <w:tc>
          <w:tcPr>
            <w:tcW w:w="6048" w:type="dxa"/>
          </w:tcPr>
          <w:p w:rsidR="00C42EEA" w:rsidRPr="004B50A5" w:rsidRDefault="004B50A5" w:rsidP="004B50A5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  <w:rPr>
                <w:rFonts w:cstheme="minorHAnsi"/>
              </w:rPr>
            </w:pPr>
            <w:r>
              <w:t>When was Missouri’s FPHS model finally approved by its Executive Committee?</w:t>
            </w:r>
            <w:r w:rsidR="00726C40">
              <w:t xml:space="preserve"> </w:t>
            </w:r>
            <w:r w:rsidR="00726C40">
              <w:t>(video 3:38)</w:t>
            </w:r>
          </w:p>
          <w:p w:rsidR="004B50A5" w:rsidRPr="004B50A5" w:rsidRDefault="004B50A5" w:rsidP="00726C40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cstheme="minorHAnsi"/>
              </w:rPr>
            </w:pPr>
            <w:r>
              <w:t>December 2019</w:t>
            </w:r>
            <w:r w:rsidR="00C12617">
              <w:t xml:space="preserve">  </w:t>
            </w:r>
          </w:p>
        </w:tc>
        <w:tc>
          <w:tcPr>
            <w:tcW w:w="3240" w:type="dxa"/>
          </w:tcPr>
          <w:p w:rsidR="00C42EEA" w:rsidRPr="00685824" w:rsidRDefault="00C42EEA" w:rsidP="00685824">
            <w:pPr>
              <w:spacing w:before="40" w:after="40"/>
              <w:ind w:left="162"/>
              <w:rPr>
                <w:rFonts w:cstheme="minorHAnsi"/>
              </w:rPr>
            </w:pPr>
          </w:p>
        </w:tc>
        <w:tc>
          <w:tcPr>
            <w:tcW w:w="936" w:type="dxa"/>
          </w:tcPr>
          <w:p w:rsidR="00C42EEA" w:rsidRPr="00A8616F" w:rsidRDefault="00C42EEA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C42EEA" w:rsidRPr="00A8616F" w:rsidTr="00DB3C77">
        <w:trPr>
          <w:cantSplit/>
        </w:trPr>
        <w:tc>
          <w:tcPr>
            <w:tcW w:w="6048" w:type="dxa"/>
          </w:tcPr>
          <w:p w:rsidR="00DB3C77" w:rsidRPr="00DB3C77" w:rsidRDefault="004B50A5" w:rsidP="004B50A5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  <w:rPr>
                <w:rFonts w:cstheme="minorHAnsi"/>
              </w:rPr>
            </w:pPr>
            <w:r>
              <w:t>Missouri’s FPHS model offers a simplified operational framework that identifies the unique responsibilities of governmental public health.</w:t>
            </w:r>
            <w:r>
              <w:t xml:space="preserve"> Is this statement true or false? </w:t>
            </w:r>
          </w:p>
          <w:p w:rsidR="00C42EEA" w:rsidRPr="004B50A5" w:rsidRDefault="004B50A5" w:rsidP="00DB3C77">
            <w:pPr>
              <w:pStyle w:val="ListParagraph"/>
              <w:spacing w:before="40" w:after="40"/>
              <w:ind w:left="360"/>
              <w:rPr>
                <w:rFonts w:cstheme="minorHAnsi"/>
              </w:rPr>
            </w:pPr>
            <w:r>
              <w:t>If false, what is incorrect?</w:t>
            </w:r>
            <w:r w:rsidR="00726C40">
              <w:t xml:space="preserve"> </w:t>
            </w:r>
            <w:r w:rsidR="00726C40">
              <w:t>(video 4:08)</w:t>
            </w:r>
          </w:p>
          <w:p w:rsidR="004B50A5" w:rsidRPr="004B50A5" w:rsidRDefault="004B50A5" w:rsidP="00726C40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cstheme="minorHAnsi"/>
              </w:rPr>
            </w:pPr>
            <w:r>
              <w:t>True.</w:t>
            </w:r>
            <w:r w:rsidR="00C12617">
              <w:t xml:space="preserve">  </w:t>
            </w:r>
          </w:p>
        </w:tc>
        <w:tc>
          <w:tcPr>
            <w:tcW w:w="3240" w:type="dxa"/>
          </w:tcPr>
          <w:p w:rsidR="00C42EEA" w:rsidRPr="00685824" w:rsidRDefault="00C42EEA" w:rsidP="00685824">
            <w:pPr>
              <w:spacing w:before="40" w:after="40"/>
              <w:ind w:left="162"/>
              <w:rPr>
                <w:rFonts w:cstheme="minorHAnsi"/>
              </w:rPr>
            </w:pPr>
          </w:p>
        </w:tc>
        <w:tc>
          <w:tcPr>
            <w:tcW w:w="936" w:type="dxa"/>
          </w:tcPr>
          <w:p w:rsidR="00C42EEA" w:rsidRPr="00A8616F" w:rsidRDefault="00C42EEA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4B50A5" w:rsidRPr="00A8616F" w:rsidTr="00DB3C77">
        <w:trPr>
          <w:cantSplit/>
        </w:trPr>
        <w:tc>
          <w:tcPr>
            <w:tcW w:w="6048" w:type="dxa"/>
          </w:tcPr>
          <w:p w:rsidR="004B50A5" w:rsidRDefault="004B50A5" w:rsidP="004B50A5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</w:pPr>
            <w:r>
              <w:t>Describe three ways Missouri’s FPHS model differs from the national model.</w:t>
            </w:r>
            <w:r w:rsidR="00726C40">
              <w:t xml:space="preserve"> </w:t>
            </w:r>
            <w:r w:rsidR="00726C40">
              <w:t>(video 3:41 – 4:07)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6"/>
              </w:numPr>
              <w:spacing w:before="40" w:after="40"/>
            </w:pPr>
            <w:r>
              <w:t>Injury prevention as its own area of expertise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6"/>
              </w:numPr>
              <w:spacing w:before="40" w:after="40"/>
            </w:pPr>
            <w:r>
              <w:t>A</w:t>
            </w:r>
            <w:r>
              <w:t>dded behavioral health and community resources to linkage to care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6"/>
              </w:numPr>
              <w:spacing w:before="40" w:after="40"/>
            </w:pPr>
            <w:r>
              <w:t>C</w:t>
            </w:r>
            <w:r>
              <w:t>al</w:t>
            </w:r>
            <w:r>
              <w:t>ls</w:t>
            </w:r>
            <w:r>
              <w:t xml:space="preserve"> out health equity and </w:t>
            </w:r>
            <w:r>
              <w:t>social determinants of health</w:t>
            </w:r>
          </w:p>
          <w:p w:rsidR="00C12617" w:rsidRDefault="004B50A5" w:rsidP="00726C40">
            <w:pPr>
              <w:pStyle w:val="ListParagraph"/>
              <w:numPr>
                <w:ilvl w:val="0"/>
                <w:numId w:val="16"/>
              </w:numPr>
              <w:spacing w:before="40" w:after="40"/>
            </w:pPr>
            <w:r>
              <w:t>Ad</w:t>
            </w:r>
            <w:r>
              <w:t>ded outer ring for local responsive programs and services</w:t>
            </w:r>
          </w:p>
        </w:tc>
        <w:tc>
          <w:tcPr>
            <w:tcW w:w="3240" w:type="dxa"/>
          </w:tcPr>
          <w:p w:rsidR="004B50A5" w:rsidRPr="00685824" w:rsidRDefault="004B50A5" w:rsidP="00685824">
            <w:pPr>
              <w:spacing w:before="40" w:after="40"/>
              <w:ind w:left="162"/>
              <w:rPr>
                <w:rFonts w:cstheme="minorHAnsi"/>
              </w:rPr>
            </w:pPr>
          </w:p>
        </w:tc>
        <w:tc>
          <w:tcPr>
            <w:tcW w:w="936" w:type="dxa"/>
          </w:tcPr>
          <w:p w:rsidR="004B50A5" w:rsidRPr="00A8616F" w:rsidRDefault="004B50A5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4B50A5" w:rsidRPr="00A8616F" w:rsidTr="00DB3C77">
        <w:trPr>
          <w:cantSplit/>
        </w:trPr>
        <w:tc>
          <w:tcPr>
            <w:tcW w:w="6048" w:type="dxa"/>
          </w:tcPr>
          <w:p w:rsidR="004B50A5" w:rsidRDefault="004B50A5" w:rsidP="004B50A5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</w:pPr>
            <w:r>
              <w:lastRenderedPageBreak/>
              <w:t>Name three actions the FPHS model supports in an effort to close the gap between what LPHAs need to provide and are able to provide</w:t>
            </w:r>
            <w:r>
              <w:t>.</w:t>
            </w:r>
            <w:r w:rsidR="00726C40">
              <w:t xml:space="preserve"> </w:t>
            </w:r>
            <w:r w:rsidR="00726C40">
              <w:t>(video 4:26 – 4:36)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7"/>
              </w:numPr>
              <w:spacing w:before="40" w:after="40"/>
            </w:pPr>
            <w:r>
              <w:t>Determine cost for delivering FPHS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7"/>
              </w:numPr>
              <w:spacing w:before="40" w:after="40"/>
            </w:pPr>
            <w:r>
              <w:t>I</w:t>
            </w:r>
            <w:r>
              <w:t>dentify capacity gaps</w:t>
            </w:r>
          </w:p>
          <w:p w:rsidR="00C12617" w:rsidRDefault="004B50A5" w:rsidP="00726C40">
            <w:pPr>
              <w:pStyle w:val="ListParagraph"/>
              <w:numPr>
                <w:ilvl w:val="0"/>
                <w:numId w:val="17"/>
              </w:numPr>
              <w:spacing w:before="40" w:after="40"/>
            </w:pPr>
            <w:r>
              <w:t>J</w:t>
            </w:r>
            <w:r>
              <w:t>ustify funding requests</w:t>
            </w:r>
          </w:p>
        </w:tc>
        <w:tc>
          <w:tcPr>
            <w:tcW w:w="3240" w:type="dxa"/>
          </w:tcPr>
          <w:p w:rsidR="004B50A5" w:rsidRPr="00685824" w:rsidRDefault="004B50A5" w:rsidP="00685824">
            <w:pPr>
              <w:spacing w:before="40" w:after="40"/>
              <w:ind w:left="162"/>
              <w:rPr>
                <w:rFonts w:cstheme="minorHAnsi"/>
              </w:rPr>
            </w:pPr>
          </w:p>
        </w:tc>
        <w:tc>
          <w:tcPr>
            <w:tcW w:w="936" w:type="dxa"/>
          </w:tcPr>
          <w:p w:rsidR="004B50A5" w:rsidRPr="00A8616F" w:rsidRDefault="004B50A5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4B50A5" w:rsidRPr="00A8616F" w:rsidTr="00DB3C77">
        <w:trPr>
          <w:cantSplit/>
        </w:trPr>
        <w:tc>
          <w:tcPr>
            <w:tcW w:w="6048" w:type="dxa"/>
          </w:tcPr>
          <w:p w:rsidR="004B50A5" w:rsidRDefault="004B50A5" w:rsidP="004B50A5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</w:pPr>
            <w:r>
              <w:t>List the seven cross-cutting skills the model defines as foundational public health capabilities.</w:t>
            </w:r>
            <w:r w:rsidR="00726C40">
              <w:t xml:space="preserve"> </w:t>
            </w:r>
            <w:r w:rsidR="00726C40">
              <w:t>(video 4:45 – 5:13)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8"/>
              </w:numPr>
              <w:spacing w:before="40" w:after="40"/>
            </w:pPr>
            <w:r>
              <w:t>Policy Development and Support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8"/>
              </w:numPr>
              <w:spacing w:before="40" w:after="40"/>
            </w:pPr>
            <w:r>
              <w:t>Communications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8"/>
              </w:numPr>
              <w:spacing w:before="40" w:after="40"/>
            </w:pPr>
            <w:r>
              <w:t>Community Partnership and Development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8"/>
              </w:numPr>
              <w:spacing w:before="40" w:after="40"/>
            </w:pPr>
            <w:r>
              <w:t>Organizational Administrative Competencies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8"/>
              </w:numPr>
              <w:spacing w:before="40" w:after="40"/>
            </w:pPr>
            <w:r>
              <w:t>Accountability and Performance Management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18"/>
              </w:numPr>
              <w:spacing w:before="40" w:after="40"/>
            </w:pPr>
            <w:r>
              <w:t>Assessment and Surveillance</w:t>
            </w:r>
          </w:p>
          <w:p w:rsidR="00C12617" w:rsidRDefault="004B50A5" w:rsidP="00726C40">
            <w:pPr>
              <w:pStyle w:val="ListParagraph"/>
              <w:numPr>
                <w:ilvl w:val="0"/>
                <w:numId w:val="18"/>
              </w:numPr>
              <w:spacing w:before="40" w:after="40"/>
            </w:pPr>
            <w:r>
              <w:t>Emergency Preparedness and Response</w:t>
            </w:r>
          </w:p>
        </w:tc>
        <w:tc>
          <w:tcPr>
            <w:tcW w:w="3240" w:type="dxa"/>
          </w:tcPr>
          <w:p w:rsidR="004B50A5" w:rsidRPr="00685824" w:rsidRDefault="004B50A5" w:rsidP="00685824">
            <w:pPr>
              <w:spacing w:before="40" w:after="40"/>
              <w:ind w:left="162"/>
              <w:rPr>
                <w:rFonts w:cstheme="minorHAnsi"/>
              </w:rPr>
            </w:pPr>
          </w:p>
        </w:tc>
        <w:tc>
          <w:tcPr>
            <w:tcW w:w="936" w:type="dxa"/>
          </w:tcPr>
          <w:p w:rsidR="004B50A5" w:rsidRPr="00A8616F" w:rsidRDefault="004B50A5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4B50A5" w:rsidRPr="00A8616F" w:rsidTr="00DB3C77">
        <w:trPr>
          <w:cantSplit/>
        </w:trPr>
        <w:tc>
          <w:tcPr>
            <w:tcW w:w="6048" w:type="dxa"/>
          </w:tcPr>
          <w:p w:rsidR="004B50A5" w:rsidRDefault="004B50A5" w:rsidP="004B50A5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List the six interconnected areas of public health expertise identified in the model.</w:t>
            </w:r>
            <w:r w:rsidR="00726C40">
              <w:t xml:space="preserve"> </w:t>
            </w:r>
            <w:r w:rsidR="00726C40">
              <w:t>(video 5:15 – 5:36)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20"/>
              </w:numPr>
              <w:spacing w:before="40" w:after="40"/>
            </w:pPr>
            <w:r>
              <w:t>Communicable Disease Control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20"/>
              </w:numPr>
              <w:spacing w:before="40" w:after="40"/>
            </w:pPr>
            <w:r>
              <w:t>Chronic Disease Prevention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20"/>
              </w:numPr>
              <w:spacing w:before="40" w:after="40"/>
            </w:pPr>
            <w:r>
              <w:t>Linkage to Medical, Behavioral, and Community Resources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20"/>
              </w:numPr>
              <w:spacing w:before="40" w:after="40"/>
            </w:pPr>
            <w:r>
              <w:t>Injury Prevention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20"/>
              </w:numPr>
              <w:spacing w:before="40" w:after="40"/>
            </w:pPr>
            <w:r>
              <w:t>Maternal, Child, and Family Health</w:t>
            </w:r>
          </w:p>
          <w:p w:rsidR="00C12617" w:rsidRDefault="004B50A5" w:rsidP="00726C40">
            <w:pPr>
              <w:pStyle w:val="ListParagraph"/>
              <w:numPr>
                <w:ilvl w:val="0"/>
                <w:numId w:val="20"/>
              </w:numPr>
              <w:spacing w:before="40" w:after="40"/>
            </w:pPr>
            <w:r>
              <w:t>Environmental Public Health</w:t>
            </w:r>
          </w:p>
        </w:tc>
        <w:tc>
          <w:tcPr>
            <w:tcW w:w="3240" w:type="dxa"/>
          </w:tcPr>
          <w:p w:rsidR="004B50A5" w:rsidRPr="00685824" w:rsidRDefault="004B50A5" w:rsidP="00685824">
            <w:pPr>
              <w:spacing w:before="40" w:after="40"/>
              <w:ind w:left="162"/>
              <w:rPr>
                <w:rFonts w:cstheme="minorHAnsi"/>
              </w:rPr>
            </w:pPr>
          </w:p>
        </w:tc>
        <w:tc>
          <w:tcPr>
            <w:tcW w:w="936" w:type="dxa"/>
          </w:tcPr>
          <w:p w:rsidR="004B50A5" w:rsidRPr="00A8616F" w:rsidRDefault="004B50A5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4B50A5" w:rsidRPr="00A8616F" w:rsidTr="00DB3C77">
        <w:trPr>
          <w:cantSplit/>
        </w:trPr>
        <w:tc>
          <w:tcPr>
            <w:tcW w:w="6048" w:type="dxa"/>
          </w:tcPr>
          <w:p w:rsidR="004B50A5" w:rsidRDefault="004B50A5" w:rsidP="004B50A5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</w:pPr>
            <w:r>
              <w:t xml:space="preserve">The model components are not </w:t>
            </w:r>
            <w:r>
              <w:t xml:space="preserve">interrelated, </w:t>
            </w:r>
            <w:r>
              <w:t xml:space="preserve">so </w:t>
            </w:r>
            <w:r>
              <w:t>each of the capabilities can</w:t>
            </w:r>
            <w:r>
              <w:t xml:space="preserve">not be </w:t>
            </w:r>
            <w:r>
              <w:t>align</w:t>
            </w:r>
            <w:r>
              <w:t>ed</w:t>
            </w:r>
            <w:r>
              <w:t xml:space="preserve"> </w:t>
            </w:r>
            <w:r>
              <w:t xml:space="preserve">or </w:t>
            </w:r>
            <w:r>
              <w:t>integrated with each of the foundational areas.</w:t>
            </w:r>
            <w:r>
              <w:t xml:space="preserve"> Is this statement true or false? If false, what is incorrect?</w:t>
            </w:r>
            <w:r w:rsidR="00726C40">
              <w:t xml:space="preserve"> </w:t>
            </w:r>
            <w:r w:rsidR="00726C40">
              <w:t>(video 5:38)</w:t>
            </w:r>
          </w:p>
          <w:p w:rsidR="00C12617" w:rsidRDefault="004B50A5" w:rsidP="00726C40">
            <w:pPr>
              <w:pStyle w:val="ListParagraph"/>
              <w:numPr>
                <w:ilvl w:val="0"/>
                <w:numId w:val="21"/>
              </w:numPr>
              <w:spacing w:before="40" w:after="40"/>
            </w:pPr>
            <w:r>
              <w:t>False. T</w:t>
            </w:r>
            <w:r>
              <w:t>hey are interrelated</w:t>
            </w:r>
            <w:r>
              <w:t>. E</w:t>
            </w:r>
            <w:r>
              <w:t>ach capabilit</w:t>
            </w:r>
            <w:r>
              <w:t>y</w:t>
            </w:r>
            <w:r>
              <w:t xml:space="preserve"> can align and</w:t>
            </w:r>
            <w:r>
              <w:t xml:space="preserve"> be integrated with each foundational area</w:t>
            </w:r>
            <w:r>
              <w:t>.</w:t>
            </w:r>
          </w:p>
        </w:tc>
        <w:tc>
          <w:tcPr>
            <w:tcW w:w="3240" w:type="dxa"/>
          </w:tcPr>
          <w:p w:rsidR="004B50A5" w:rsidRPr="00685824" w:rsidRDefault="004B50A5" w:rsidP="00685824">
            <w:pPr>
              <w:spacing w:before="40" w:after="40"/>
              <w:ind w:left="162"/>
              <w:rPr>
                <w:rFonts w:cstheme="minorHAnsi"/>
              </w:rPr>
            </w:pPr>
          </w:p>
        </w:tc>
        <w:tc>
          <w:tcPr>
            <w:tcW w:w="936" w:type="dxa"/>
          </w:tcPr>
          <w:p w:rsidR="004B50A5" w:rsidRPr="00A8616F" w:rsidRDefault="004B50A5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  <w:tr w:rsidR="004B50A5" w:rsidRPr="00A8616F" w:rsidTr="00DB3C77">
        <w:trPr>
          <w:cantSplit/>
        </w:trPr>
        <w:tc>
          <w:tcPr>
            <w:tcW w:w="6048" w:type="dxa"/>
          </w:tcPr>
          <w:p w:rsidR="004B50A5" w:rsidRDefault="004B50A5" w:rsidP="004B50A5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</w:pPr>
            <w:r>
              <w:t xml:space="preserve">Name three </w:t>
            </w:r>
            <w:r>
              <w:t>ways in which</w:t>
            </w:r>
            <w:r>
              <w:t xml:space="preserve"> Missouri’s local public health agencies are already </w:t>
            </w:r>
            <w:r>
              <w:t>working</w:t>
            </w:r>
            <w:r>
              <w:t xml:space="preserve"> to assure foundational public health capabilities.</w:t>
            </w:r>
            <w:r w:rsidR="00726C40">
              <w:t xml:space="preserve"> (video 6:15)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22"/>
              </w:numPr>
              <w:spacing w:before="40" w:after="40"/>
            </w:pPr>
            <w:r>
              <w:t>Resource sharing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22"/>
              </w:numPr>
              <w:spacing w:before="40" w:after="40"/>
            </w:pPr>
            <w:r>
              <w:t>C</w:t>
            </w:r>
            <w:r>
              <w:t>ollaborative partnerships</w:t>
            </w:r>
          </w:p>
          <w:p w:rsidR="004B50A5" w:rsidRDefault="004B50A5" w:rsidP="004B50A5">
            <w:pPr>
              <w:pStyle w:val="ListParagraph"/>
              <w:numPr>
                <w:ilvl w:val="0"/>
                <w:numId w:val="22"/>
              </w:numPr>
              <w:spacing w:before="40" w:after="40"/>
            </w:pPr>
            <w:r>
              <w:t>I</w:t>
            </w:r>
            <w:r>
              <w:t>nnovative solutions</w:t>
            </w:r>
          </w:p>
        </w:tc>
        <w:tc>
          <w:tcPr>
            <w:tcW w:w="3240" w:type="dxa"/>
          </w:tcPr>
          <w:p w:rsidR="004B50A5" w:rsidRPr="00685824" w:rsidRDefault="004B50A5" w:rsidP="00685824">
            <w:pPr>
              <w:spacing w:before="40" w:after="40"/>
              <w:ind w:left="162"/>
              <w:rPr>
                <w:rFonts w:cstheme="minorHAnsi"/>
              </w:rPr>
            </w:pPr>
          </w:p>
        </w:tc>
        <w:tc>
          <w:tcPr>
            <w:tcW w:w="936" w:type="dxa"/>
          </w:tcPr>
          <w:p w:rsidR="004B50A5" w:rsidRPr="00A8616F" w:rsidRDefault="004B50A5" w:rsidP="00C42EEA">
            <w:pPr>
              <w:spacing w:before="40" w:after="40"/>
              <w:ind w:right="170"/>
              <w:jc w:val="right"/>
              <w:rPr>
                <w:rFonts w:cstheme="minorHAnsi"/>
              </w:rPr>
            </w:pPr>
          </w:p>
        </w:tc>
      </w:tr>
    </w:tbl>
    <w:p w:rsidR="00CD5015" w:rsidRDefault="00CD5015" w:rsidP="00DB3C77">
      <w:pPr>
        <w:spacing w:after="0"/>
      </w:pPr>
    </w:p>
    <w:sectPr w:rsidR="00CD5015" w:rsidSect="00DB3C77">
      <w:headerReference w:type="default" r:id="rId9"/>
      <w:headerReference w:type="first" r:id="rId10"/>
      <w:pgSz w:w="12240" w:h="15840" w:code="1"/>
      <w:pgMar w:top="1440" w:right="1152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3D" w:rsidRDefault="00B8293D" w:rsidP="00BC46AB">
      <w:pPr>
        <w:spacing w:after="0" w:line="240" w:lineRule="auto"/>
      </w:pPr>
      <w:r>
        <w:separator/>
      </w:r>
    </w:p>
  </w:endnote>
  <w:endnote w:type="continuationSeparator" w:id="0">
    <w:p w:rsidR="00B8293D" w:rsidRDefault="00B8293D" w:rsidP="00BC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3D" w:rsidRDefault="00B8293D" w:rsidP="00BC46AB">
      <w:pPr>
        <w:spacing w:after="0" w:line="240" w:lineRule="auto"/>
      </w:pPr>
      <w:r>
        <w:separator/>
      </w:r>
    </w:p>
  </w:footnote>
  <w:footnote w:type="continuationSeparator" w:id="0">
    <w:p w:rsidR="00B8293D" w:rsidRDefault="00B8293D" w:rsidP="00BC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AB" w:rsidRDefault="00BC46AB" w:rsidP="00913D2D">
    <w:pPr>
      <w:tabs>
        <w:tab w:val="right" w:pos="9990"/>
        <w:tab w:val="right" w:pos="12690"/>
      </w:tabs>
      <w:spacing w:after="0"/>
      <w:ind w:right="18"/>
      <w:rPr>
        <w:noProof/>
        <w:sz w:val="20"/>
        <w:szCs w:val="20"/>
      </w:rPr>
    </w:pPr>
    <w:r w:rsidRPr="00BC46AB">
      <w:rPr>
        <w:sz w:val="20"/>
        <w:szCs w:val="20"/>
      </w:rPr>
      <w:t xml:space="preserve">Understanding Missouri’s </w:t>
    </w:r>
    <w:r w:rsidR="00FA023D">
      <w:rPr>
        <w:sz w:val="20"/>
        <w:szCs w:val="20"/>
      </w:rPr>
      <w:t>Foundational Public Health Services Model</w:t>
    </w:r>
    <w:r w:rsidR="00C75718">
      <w:rPr>
        <w:sz w:val="20"/>
        <w:szCs w:val="20"/>
      </w:rPr>
      <w:t>:  Essay Assignment and Grading Rubric</w:t>
    </w:r>
    <w:r w:rsidR="00913D2D">
      <w:rPr>
        <w:sz w:val="20"/>
        <w:szCs w:val="20"/>
      </w:rPr>
      <w:tab/>
    </w:r>
    <w:r>
      <w:rPr>
        <w:sz w:val="20"/>
        <w:szCs w:val="20"/>
      </w:rPr>
      <w:t xml:space="preserve">page </w:t>
    </w:r>
    <w:r w:rsidRPr="00BC46AB">
      <w:rPr>
        <w:sz w:val="20"/>
        <w:szCs w:val="20"/>
      </w:rPr>
      <w:fldChar w:fldCharType="begin"/>
    </w:r>
    <w:r w:rsidRPr="00BC46AB">
      <w:rPr>
        <w:sz w:val="20"/>
        <w:szCs w:val="20"/>
      </w:rPr>
      <w:instrText xml:space="preserve"> PAGE   \* MERGEFORMAT </w:instrText>
    </w:r>
    <w:r w:rsidRPr="00BC46AB">
      <w:rPr>
        <w:sz w:val="20"/>
        <w:szCs w:val="20"/>
      </w:rPr>
      <w:fldChar w:fldCharType="separate"/>
    </w:r>
    <w:r w:rsidR="00726C40">
      <w:rPr>
        <w:noProof/>
        <w:sz w:val="20"/>
        <w:szCs w:val="20"/>
      </w:rPr>
      <w:t>2</w:t>
    </w:r>
    <w:r w:rsidRPr="00BC46AB">
      <w:rPr>
        <w:noProof/>
        <w:sz w:val="20"/>
        <w:szCs w:val="20"/>
      </w:rPr>
      <w:fldChar w:fldCharType="end"/>
    </w:r>
  </w:p>
  <w:p w:rsidR="00BC46AB" w:rsidRPr="00BC46AB" w:rsidRDefault="00BC46AB" w:rsidP="00913D2D">
    <w:pPr>
      <w:tabs>
        <w:tab w:val="right" w:pos="9990"/>
        <w:tab w:val="right" w:pos="12690"/>
      </w:tabs>
      <w:spacing w:after="0"/>
      <w:ind w:right="18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18" w:rsidRDefault="00C75718" w:rsidP="00C75718">
    <w:pPr>
      <w:spacing w:after="0"/>
      <w:jc w:val="center"/>
      <w:rPr>
        <w:b/>
        <w:sz w:val="26"/>
        <w:szCs w:val="26"/>
      </w:rPr>
    </w:pPr>
  </w:p>
  <w:p w:rsidR="00BA7832" w:rsidRPr="004B50A5" w:rsidRDefault="00C75718" w:rsidP="004B50A5">
    <w:pPr>
      <w:spacing w:after="0"/>
      <w:jc w:val="center"/>
      <w:rPr>
        <w:b/>
        <w:sz w:val="26"/>
        <w:szCs w:val="26"/>
      </w:rPr>
    </w:pPr>
    <w:r w:rsidRPr="00BF2AFC">
      <w:rPr>
        <w:b/>
        <w:sz w:val="26"/>
        <w:szCs w:val="26"/>
      </w:rPr>
      <w:t xml:space="preserve">Understanding </w:t>
    </w:r>
    <w:r>
      <w:rPr>
        <w:b/>
        <w:sz w:val="26"/>
        <w:szCs w:val="26"/>
      </w:rPr>
      <w:t>Missouri’s Foundational Public Health Services Model</w:t>
    </w:r>
  </w:p>
  <w:p w:rsidR="00C75718" w:rsidRPr="00C75718" w:rsidRDefault="00C75718" w:rsidP="00C757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F75"/>
    <w:multiLevelType w:val="hybridMultilevel"/>
    <w:tmpl w:val="73F6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0991"/>
    <w:multiLevelType w:val="hybridMultilevel"/>
    <w:tmpl w:val="797C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2217"/>
    <w:multiLevelType w:val="hybridMultilevel"/>
    <w:tmpl w:val="1D68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F589C"/>
    <w:multiLevelType w:val="hybridMultilevel"/>
    <w:tmpl w:val="39E44C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BD2B04"/>
    <w:multiLevelType w:val="hybridMultilevel"/>
    <w:tmpl w:val="F774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678B0"/>
    <w:multiLevelType w:val="hybridMultilevel"/>
    <w:tmpl w:val="B0F0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3C53"/>
    <w:multiLevelType w:val="hybridMultilevel"/>
    <w:tmpl w:val="E73E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E3F5A"/>
    <w:multiLevelType w:val="hybridMultilevel"/>
    <w:tmpl w:val="4F7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F68E6"/>
    <w:multiLevelType w:val="hybridMultilevel"/>
    <w:tmpl w:val="F446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54C10"/>
    <w:multiLevelType w:val="hybridMultilevel"/>
    <w:tmpl w:val="9274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85E9A"/>
    <w:multiLevelType w:val="hybridMultilevel"/>
    <w:tmpl w:val="F00A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8170E"/>
    <w:multiLevelType w:val="hybridMultilevel"/>
    <w:tmpl w:val="49F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01C66"/>
    <w:multiLevelType w:val="hybridMultilevel"/>
    <w:tmpl w:val="603A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75662"/>
    <w:multiLevelType w:val="hybridMultilevel"/>
    <w:tmpl w:val="6B50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6294A"/>
    <w:multiLevelType w:val="hybridMultilevel"/>
    <w:tmpl w:val="4A7E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878F6"/>
    <w:multiLevelType w:val="hybridMultilevel"/>
    <w:tmpl w:val="824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C1C2C"/>
    <w:multiLevelType w:val="hybridMultilevel"/>
    <w:tmpl w:val="109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24389"/>
    <w:multiLevelType w:val="hybridMultilevel"/>
    <w:tmpl w:val="305A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B6F16"/>
    <w:multiLevelType w:val="hybridMultilevel"/>
    <w:tmpl w:val="CA90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B00B1"/>
    <w:multiLevelType w:val="hybridMultilevel"/>
    <w:tmpl w:val="67AA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454FB"/>
    <w:multiLevelType w:val="hybridMultilevel"/>
    <w:tmpl w:val="EF96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A32B4"/>
    <w:multiLevelType w:val="hybridMultilevel"/>
    <w:tmpl w:val="D57C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21"/>
  </w:num>
  <w:num w:numId="7">
    <w:abstractNumId w:val="0"/>
  </w:num>
  <w:num w:numId="8">
    <w:abstractNumId w:val="17"/>
  </w:num>
  <w:num w:numId="9">
    <w:abstractNumId w:val="13"/>
  </w:num>
  <w:num w:numId="10">
    <w:abstractNumId w:val="3"/>
  </w:num>
  <w:num w:numId="11">
    <w:abstractNumId w:val="19"/>
  </w:num>
  <w:num w:numId="12">
    <w:abstractNumId w:val="2"/>
  </w:num>
  <w:num w:numId="13">
    <w:abstractNumId w:val="9"/>
  </w:num>
  <w:num w:numId="14">
    <w:abstractNumId w:val="7"/>
  </w:num>
  <w:num w:numId="15">
    <w:abstractNumId w:val="1"/>
  </w:num>
  <w:num w:numId="16">
    <w:abstractNumId w:val="6"/>
  </w:num>
  <w:num w:numId="17">
    <w:abstractNumId w:val="5"/>
  </w:num>
  <w:num w:numId="18">
    <w:abstractNumId w:val="18"/>
  </w:num>
  <w:num w:numId="19">
    <w:abstractNumId w:val="10"/>
  </w:num>
  <w:num w:numId="20">
    <w:abstractNumId w:val="15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15"/>
    <w:rsid w:val="00136DD9"/>
    <w:rsid w:val="00137559"/>
    <w:rsid w:val="001730B1"/>
    <w:rsid w:val="001F45C7"/>
    <w:rsid w:val="003500F8"/>
    <w:rsid w:val="0038197B"/>
    <w:rsid w:val="003C0A85"/>
    <w:rsid w:val="003F49C0"/>
    <w:rsid w:val="004A02D0"/>
    <w:rsid w:val="004B50A5"/>
    <w:rsid w:val="00573A51"/>
    <w:rsid w:val="005E2275"/>
    <w:rsid w:val="00653BE0"/>
    <w:rsid w:val="00685824"/>
    <w:rsid w:val="00696BE4"/>
    <w:rsid w:val="006A1211"/>
    <w:rsid w:val="006A2112"/>
    <w:rsid w:val="006F635E"/>
    <w:rsid w:val="00726C40"/>
    <w:rsid w:val="00781410"/>
    <w:rsid w:val="00913D2D"/>
    <w:rsid w:val="00977D50"/>
    <w:rsid w:val="00982165"/>
    <w:rsid w:val="009C515F"/>
    <w:rsid w:val="00A205BA"/>
    <w:rsid w:val="00A8616F"/>
    <w:rsid w:val="00B8293D"/>
    <w:rsid w:val="00BA7832"/>
    <w:rsid w:val="00BC46AB"/>
    <w:rsid w:val="00BF2AFC"/>
    <w:rsid w:val="00C12617"/>
    <w:rsid w:val="00C42EEA"/>
    <w:rsid w:val="00C75718"/>
    <w:rsid w:val="00CB473A"/>
    <w:rsid w:val="00CD5015"/>
    <w:rsid w:val="00D65E39"/>
    <w:rsid w:val="00DB3C77"/>
    <w:rsid w:val="00DC5D3E"/>
    <w:rsid w:val="00EF57B0"/>
    <w:rsid w:val="00FA023D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3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AB"/>
  </w:style>
  <w:style w:type="paragraph" w:styleId="Footer">
    <w:name w:val="footer"/>
    <w:basedOn w:val="Normal"/>
    <w:link w:val="Foot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AB"/>
  </w:style>
  <w:style w:type="paragraph" w:customStyle="1" w:styleId="Default">
    <w:name w:val="Default"/>
    <w:rsid w:val="00FE47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3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AB"/>
  </w:style>
  <w:style w:type="paragraph" w:styleId="Footer">
    <w:name w:val="footer"/>
    <w:basedOn w:val="Normal"/>
    <w:link w:val="Foot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AB"/>
  </w:style>
  <w:style w:type="paragraph" w:customStyle="1" w:styleId="Default">
    <w:name w:val="Default"/>
    <w:rsid w:val="00FE47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KjI9gHdMQ&amp;t=49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 McReynolds</dc:creator>
  <cp:lastModifiedBy>J M</cp:lastModifiedBy>
  <cp:revision>3</cp:revision>
  <cp:lastPrinted>2019-01-09T18:07:00Z</cp:lastPrinted>
  <dcterms:created xsi:type="dcterms:W3CDTF">2021-05-07T18:28:00Z</dcterms:created>
  <dcterms:modified xsi:type="dcterms:W3CDTF">2021-05-07T18:40:00Z</dcterms:modified>
</cp:coreProperties>
</file>